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中小企業信用保険法第２条第５項第５号の規定による申請書類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・申請書　１通</w:t>
      </w:r>
      <w:bookmarkStart w:id="0" w:name="_GoBack"/>
      <w:bookmarkEnd w:id="0"/>
    </w:p>
    <w:p>
      <w:pPr>
        <w:pStyle w:val="0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・売上高減少率の計算に必要な数値を参照できる書類※コピー可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8"/>
        </w:rPr>
        <w:t>（決算報告、月次売上表など）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・指定業種を行っていることが確認できる書類※コピー可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　（例：定款、履歴事項全部証明、確定申告、営業許可証等）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0</Words>
  <Characters>130</Characters>
  <Application>JUST Note</Application>
  <Lines>9</Lines>
  <Paragraphs>6</Paragraphs>
  <CharactersWithSpaces>132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</dc:creator>
  <cp:lastModifiedBy>奥　夏海</cp:lastModifiedBy>
  <dcterms:created xsi:type="dcterms:W3CDTF">2017-02-10T05:12:00Z</dcterms:created>
  <dcterms:modified xsi:type="dcterms:W3CDTF">2020-03-24T07:51:17Z</dcterms:modified>
  <cp:revision>8</cp:revision>
</cp:coreProperties>
</file>