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南伊勢町長　　　　　　　　様</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spacing w:line="240" w:lineRule="exact"/>
              <w:rPr>
                <w:rFonts w:hint="default"/>
              </w:rPr>
            </w:pPr>
            <w:r>
              <w:rPr>
                <w:rFonts w:hint="eastAsia"/>
              </w:rPr>
              <w:t>記</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0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63500</wp:posOffset>
                </wp:positionH>
                <wp:positionV relativeFrom="paragraph">
                  <wp:posOffset>101600</wp:posOffset>
                </wp:positionV>
                <wp:extent cx="6281420" cy="195516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1955165"/>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00" w:lineRule="exact"/>
                              <w:ind w:left="844" w:leftChars="-66" w:hanging="98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00" w:lineRule="exact"/>
                              <w:ind w:left="714" w:leftChars="-66" w:hanging="85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　</w:t>
                            </w:r>
                            <w:r>
                              <w:rPr>
                                <w:rFonts w:hint="eastAsia" w:ascii="ＭＳ ゴシック" w:hAnsi="ＭＳ ゴシック" w:eastAsia="ＭＳ ゴシック"/>
                                <w:color w:val="000000"/>
                                <w:kern w:val="0"/>
                                <w:sz w:val="20"/>
                                <w:u w:val="single"/>
                              </w:rPr>
                              <w:t>　　　</w:t>
                            </w:r>
                            <w:r>
                              <w:rPr>
                                <w:rFonts w:hint="eastAsia" w:ascii="ＭＳ ゴシック" w:hAnsi="ＭＳ ゴシック" w:eastAsia="ＭＳ ゴシック"/>
                                <w:color w:val="000000"/>
                                <w:kern w:val="0"/>
                                <w:sz w:val="20"/>
                              </w:rPr>
                              <w:t>には、「販売数量の減少」又は「売上高の減少」等を入れる。</w:t>
                            </w:r>
                            <w:bookmarkStart w:id="0" w:name="_GoBack"/>
                            <w:bookmarkEnd w:id="0"/>
                          </w:p>
                          <w:p>
                            <w:pPr>
                              <w:pStyle w:val="0"/>
                              <w:suppressAutoHyphens w:val="1"/>
                              <w:wordWrap w:val="0"/>
                              <w:spacing w:line="20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wordWrap w:val="0"/>
                              <w:spacing w:line="20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0"/>
                              </w:rPr>
                              <w:t>　②　市町村長から認定を受けた後、本認定の有効期間内に金融機関又は信用保証協会に対して、経営安定関連保証の申込みを行うことが必要です。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8pt;mso-position-vertical-relative:text;mso-position-horizontal-relative:text;v-text-anchor:top;position:absolute;height:153.94pt;mso-wrap-distance-top:0pt;width:494.6pt;mso-wrap-distance-left:9pt;margin-left:5pt;z-index:2;" o:spid="_x0000_s1026"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00" w:lineRule="exact"/>
                        <w:ind w:left="844" w:leftChars="-66" w:hanging="98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00" w:lineRule="exact"/>
                        <w:ind w:left="714" w:leftChars="-66" w:hanging="853"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　</w:t>
                      </w:r>
                      <w:r>
                        <w:rPr>
                          <w:rFonts w:hint="eastAsia" w:ascii="ＭＳ ゴシック" w:hAnsi="ＭＳ ゴシック" w:eastAsia="ＭＳ ゴシック"/>
                          <w:color w:val="000000"/>
                          <w:kern w:val="0"/>
                          <w:sz w:val="20"/>
                          <w:u w:val="single"/>
                        </w:rPr>
                        <w:t>　　　</w:t>
                      </w:r>
                      <w:r>
                        <w:rPr>
                          <w:rFonts w:hint="eastAsia" w:ascii="ＭＳ ゴシック" w:hAnsi="ＭＳ ゴシック" w:eastAsia="ＭＳ ゴシック"/>
                          <w:color w:val="000000"/>
                          <w:kern w:val="0"/>
                          <w:sz w:val="20"/>
                        </w:rPr>
                        <w:t>には、「販売数量の減少」又は「売上高の減少」等を入れる。</w:t>
                      </w:r>
                      <w:bookmarkStart w:id="1" w:name="_GoBack"/>
                      <w:bookmarkEnd w:id="1"/>
                    </w:p>
                    <w:p>
                      <w:pPr>
                        <w:pStyle w:val="0"/>
                        <w:suppressAutoHyphens w:val="1"/>
                        <w:wordWrap w:val="0"/>
                        <w:spacing w:line="20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wordWrap w:val="0"/>
                        <w:spacing w:line="20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0"/>
                        </w:rPr>
                        <w:t>　②　市町村長から認定を受けた後、本認定の有効期間内に金融機関又は信用保証協会に対して、経営安定関連保証の申込みを行うことが必要です。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31750</wp:posOffset>
                </wp:positionH>
                <wp:positionV relativeFrom="paragraph">
                  <wp:posOffset>151130</wp:posOffset>
                </wp:positionV>
                <wp:extent cx="659828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598285" cy="0"/>
                        </a:xfrm>
                        <a:prstGeom prst="line">
                          <a:avLst/>
                        </a:prstGeom>
                        <a:ln>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00]" strokeweight="0.5pt" o:spt="20" from="2.5pt,11.9pt" to="522.05000000000007pt,11.9pt">
                <v:fill/>
                <v:stroke linestyle="single" miterlimit="8" endcap="flat" dashstyle="dash" filltype="solid"/>
                <v:textbox style="layout-flow:horizontal;"/>
                <v:imagedata o:title=""/>
                <w10:wrap type="none" anchorx="text" anchory="text"/>
              </v:line>
            </w:pict>
          </mc:Fallback>
        </mc:AlternateConten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第　　　　　号</w:t>
      </w:r>
    </w:p>
    <w:p>
      <w:pPr>
        <w:pStyle w:val="0"/>
        <w:suppressAutoHyphens w:val="1"/>
        <w:wordWrap w:val="0"/>
        <w:spacing w:line="260" w:lineRule="exact"/>
        <w:ind w:left="424" w:hanging="424" w:hangingChars="202"/>
        <w:jc w:val="right"/>
        <w:textAlignment w:val="baseline"/>
        <w:rPr>
          <w:rFonts w:hint="eastAsia"/>
        </w:rPr>
      </w:pPr>
      <w:r>
        <w:rPr>
          <w:rFonts w:hint="eastAsia" w:ascii="ＭＳ ゴシック" w:hAnsi="ＭＳ ゴシック" w:eastAsia="ＭＳ ゴシック"/>
          <w:color w:val="000000"/>
          <w:kern w:val="0"/>
        </w:rPr>
        <w:t>年　　月　　日</w:t>
      </w:r>
    </w:p>
    <w:p>
      <w:pPr>
        <w:pStyle w:val="0"/>
        <w:suppressAutoHyphens w:val="1"/>
        <w:wordWrap w:val="0"/>
        <w:ind w:left="424" w:leftChars="202" w:firstLine="210" w:firstLineChars="100"/>
        <w:jc w:val="left"/>
        <w:textAlignment w:val="baseline"/>
        <w:rPr>
          <w:rFonts w:hint="eastAsia"/>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ind w:left="424" w:hanging="424" w:hangingChars="202"/>
        <w:jc w:val="right"/>
        <w:textAlignment w:val="baseline"/>
        <w:rPr>
          <w:rFonts w:hint="eastAsia"/>
        </w:rPr>
      </w:pPr>
      <w:r>
        <w:rPr>
          <w:rFonts w:hint="eastAsia" w:ascii="ＭＳ ゴシック" w:hAnsi="ＭＳ ゴシック" w:eastAsia="ＭＳ ゴシック"/>
          <w:color w:val="000000"/>
          <w:kern w:val="0"/>
        </w:rPr>
        <w:t>（注）本認定書の有効期間：　　　年　　月　　日から　　　　年　　月　　日まで</w:t>
      </w:r>
    </w:p>
    <w:p>
      <w:pPr>
        <w:pStyle w:val="0"/>
        <w:suppressAutoHyphens w:val="1"/>
        <w:wordWrap w:val="0"/>
        <w:ind w:left="424" w:hanging="424" w:hangingChars="202"/>
        <w:jc w:val="left"/>
        <w:textAlignment w:val="baseline"/>
        <w:rPr>
          <w:rFonts w:hint="eastAsia"/>
        </w:rPr>
      </w:pPr>
    </w:p>
    <w:p>
      <w:pPr>
        <w:pStyle w:val="0"/>
        <w:ind w:right="840" w:rightChars="400"/>
        <w:jc w:val="right"/>
        <w:rPr>
          <w:rFonts w:hint="eastAsia"/>
        </w:rPr>
      </w:pPr>
      <w:r>
        <w:rPr>
          <w:rFonts w:hint="eastAsia" w:ascii="ＭＳ ゴシック" w:hAnsi="ＭＳ ゴシック" w:eastAsia="ＭＳ ゴシック"/>
          <w:color w:val="000000"/>
          <w:kern w:val="0"/>
        </w:rPr>
        <w:t>認定者名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804</Characters>
  <Application>JUST Note</Application>
  <Lines>64</Lines>
  <Paragraphs>34</Paragraphs>
  <Company>南伊勢町</Company>
  <CharactersWithSpaces>1211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奥　夏海</dc:creator>
  <cp:lastModifiedBy>奥　夏海</cp:lastModifiedBy>
  <dcterms:created xsi:type="dcterms:W3CDTF">2020-03-09T10:53:00Z</dcterms:created>
  <dcterms:modified xsi:type="dcterms:W3CDTF">2020-03-09T11:00:58Z</dcterms:modified>
  <cp:revision>3</cp:revision>
</cp:coreProperties>
</file>